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de descarga vertical em contra corrente de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ATC-M1179E</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3,454.71 (kW) a 35.0° C de condensação e um bulbo úmido de entrada de projeto de 25.6°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1.6;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de água resfriada (incluindo suportes verticais, estruturas de louver de entrada de ar e painéis até a emenda de içamento) e o módulo superior, os canais e os suportes de ângulo devem ser construídos com aço galvanizado a quente em chapa grossa. Todo o aço galvanizado deve ser revestido com no mínimo 725 grams de zinco por medidor quadrado da área (designação Z-725 Hot-Dip Galvanized Steel). Durante a fabricação, todas as bordas do painel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The coil assembly shall be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J.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K.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 A abertura da tampa do motor deve ser articulada para acesso ao motor.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