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RESFRIADORES DE CIRCUITO FECHADO</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resfriador de circuito fechado de descarga vertical, com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A performance térmica deve ser certificada pelo Cooling Technology Institute (CTI) conforme o Programa de Certificação CTI STD-201. Sem essa certificação, um teste de performance em campo deve ser realizado dentro do período de garantia de acordo com a norma de Teste de Aceitação CTI ATC-105, por uma empresa especializada com Certificação CTI. O equipamento de troca de calor evaporativo deve cumprir os requisitos de eficiência energética do Padrão ASHRAE 90.1.</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resfriadores de circuito fechado fabricados por uma das opções a seguir:</w:t>
                  </w:r>
                </w:p>
                <w:p>
                  <w:pPr>
                    <w:pStyle w:val="level4"/>
                    <w:jc w:val="left"/>
                    <w:rPr>
                      <w:rFonts w:ascii="Calibri'" w:hAnsi="Calibri'" w:cs="Calibri'"/>
                      <w:sz w:val="24"/>
                    </w:rPr>
                  </w:pPr>
                  <w:r>
                    <w:rPr>
                      <w:rFonts w:ascii="Calibri'" w:hAnsi="Calibri'" w:cs="Calibri'"/>
                      <w:sz w:val="24"/>
                    </w:rPr>
                    <w:t>1. EVAPCO Modelo ATWB 10-4N18-Z</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ser capaz de resfriar 37.4 LPS de água entrando a 35.0° C e saindo a 29.4° C em um bulbo úmido de entrada de projeto de 25.6° C com perda de carga na serpentina menor que 241.63 kPa.</w:t>
                  </w:r>
                </w:p>
                <w:p>
                  <w:pPr>
                    <w:pStyle w:val="level2"/>
                    <w:jc w:val="left"/>
                    <w:rPr>
                      <w:rFonts w:ascii="Calibri'" w:hAnsi="Calibri'" w:cs="Calibri'"/>
                      <w:sz w:val="24"/>
                    </w:rPr>
                  </w:pPr>
                  <w:r>
                    <w:rPr>
                      <w:rFonts w:ascii="Calibri'" w:hAnsi="Calibri'" w:cs="Calibri'"/>
                      <w:sz w:val="24"/>
                    </w:rPr>
                    <w:t>2.3 COMPONENTES</w:t>
                  </w:r>
                </w:p>
                <w:p>
                  <w:pPr>
                    <w:pStyle w:val="level3"/>
                    <w:jc w:val="left"/>
                    <w:rPr>
                      <w:rFonts w:ascii="Calibri'" w:hAnsi="Calibri'" w:cs="Calibri'"/>
                      <w:sz w:val="24"/>
                    </w:rPr>
                  </w:pPr>
                  <w:r>
                    <w:rPr>
                      <w:rFonts w:ascii="Calibri'" w:hAnsi="Calibri'" w:cs="Calibri'"/>
                      <w:sz w:val="24"/>
                    </w:rPr>
                    <w:t>A. Descrição: resfriador de circuito fechado em contra corrente com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da água resfriada, incluindo suportes verticais, quadros dos louvers de entrada de ar e painéis até a orelha de içamento, devem ser construídos com chapa de boa espessura de aço galvanizado a quente.</w:t>
                  </w:r>
                </w:p>
                <w:p>
                  <w:pPr>
                    <w:pStyle w:val="level4"/>
                    <w:jc w:val="left"/>
                    <w:rPr>
                      <w:rFonts w:ascii="Calibri'" w:hAnsi="Calibri'" w:cs="Calibri'"/>
                      <w:sz w:val="24"/>
                    </w:rPr>
                  </w:pPr>
                  <w:r>
                    <w:rPr>
                      <w:rFonts w:ascii="Calibri'" w:hAnsi="Calibri'" w:cs="Calibri'"/>
                      <w:sz w:val="24"/>
                    </w:rPr>
                    <w:t>2. O módulo superior, o tubo de distribuição e os suportes angulares devem ser construídos com aço galvanizado a quente e em chapa grossa. O bocal e a proteção do ventilador devem ser construídas com aço galvanizado.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A serpentina de transferência de calor deve ter tubos elípticos de aço carbono, envoltos em armação de aço com o conjunto inteiro galvanizado a quente após a fabricação. O conjunto da serpentina deve ser projetado com tubos inclinados para drenagem de líquido e pressão de ar para teste 1500 kPa sob a água. A serpentina deve estar em conformidade com Pressure Equipment Directive (2014/68/EU).</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2.4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2.5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p>
                  <w:pPr>
                    <w:pStyle w:val="level3"/>
                    <w:jc w:val="left"/>
                    <w:rPr>
                      <w:rFonts w:ascii="Calibri'" w:hAnsi="Calibri'" w:cs="Calibri'"/>
                      <w:sz w:val="24"/>
                    </w:rPr>
                  </w:pPr>
                  <w:r>
                    <w:rPr>
                      <w:rFonts w:ascii="Calibri'" w:hAnsi="Calibri'" w:cs="Calibri'"/>
                      <w:sz w:val="24"/>
                    </w:rPr>
                    <w:t>C. Plataforma de trabalho interna</w:t>
                  </w:r>
                </w:p>
                <w:p>
                  <w:pPr>
                    <w:pStyle w:val="level4"/>
                    <w:jc w:val="left"/>
                    <w:rPr>
                      <w:rFonts w:ascii="Calibri'" w:hAnsi="Calibri'" w:cs="Calibri'"/>
                      <w:sz w:val="24"/>
                    </w:rPr>
                  </w:pPr>
                  <w:r>
                    <w:rPr>
                      <w:rFonts w:ascii="Calibri'" w:hAnsi="Calibri'" w:cs="Calibri'"/>
                      <w:sz w:val="24"/>
                    </w:rPr>
                    <w:t>1. Uma plataforma de trabalho interna deve oferecer acesso fácil a ventiladores, correias, motores, roldanas, mancais, todos os equipamentos mecânicos e sistema completo de distribuição de água. A superfície da serpentina deve ser um meio aceitável de acessar esses componentes.</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