
<file path=[Content_Types].xml><?xml version="1.0" encoding="utf-8"?>
<Types xmlns="http://schemas.openxmlformats.org/package/2006/content-types">
  <Default Extension="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r="http://schemas.openxmlformats.org/officeDocument/2006/relationships" xmlns:w="http://schemas.openxmlformats.org/wordprocessingml/2006/main">
  <w:body>
    <w:tbl>
      <w:tblPr>
        <w:tblW w:w="5000" w:type="pct"/>
        <w:jc w:val="left"/>
        <w:tblCellSpacing w:w="0" w:type="dxa"/>
      </w:tblPr>
      <w:tr>
        <w:trPr/>
        <w:tc>
          <w:tcPr>
            <w:tcW w:w="4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level0"/>
              <w:rPr>
                <w:rFonts w:ascii="Calibri'" w:hAnsi="Calibri'" w:cs="Calibri'"/>
                <w:sz w:val="24"/>
              </w:rPr>
            </w:pPr>
            <w:r>
              <w:rPr>
                <w:rFonts w:ascii="Calibri'" w:hAnsi="Calibri'" w:cs="Calibri'"/>
                <w:sz w:val="24"/>
              </w:rPr>
              <w:t>SEÇÃO 23 65 00</w:t>
            </w:r>
          </w:p>
        </w:tc>
      </w:tr>
      <w:tr>
        <w:trPr/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000" w:type="pct"/>
              <w:jc w:val="center"/>
              <w:tblCellSpacing w:w="0" w:type="dxa"/>
            </w:tblPr>
            <w:tr>
              <w:trPr/>
              <w:tc>
                <w:tcPr>
                  <w:tcW w:w="4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>
                  <w:pPr>
                    <w:pStyle w:val="level0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RESFRIADORES DE CIRCUITO FECHADO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1 - GERAL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1.1 DOCUMENTOS RELACIONADOS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Desenhos e disposições gerais do contrato, incluindo condições gerais e suplementares e seções de especificação da divisão 01, aplicam-se a esta Seção.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1.2 RESUMO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Essa Seção inclui o resfriador de circuito fechado de descarga vertical, com tiragem induzida montado e testado na fábrica.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1.3 DOCUMENTOS PARA APROVAÇÃO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Informações do produto: Para cada tipo de produto indicado. Incluir capacidades nominais, perda de carga, curvas de desempenho com pontos selecionados indicados, especialidades fornecidas e acessórios.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Desenhos de fábrica: Conjunto completo de desenhos de montagem dos equipamentos, painéis de controle, seções e elevações e isolamento da unidade. Inclua o seguinte: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Dimensões do equipamento montado.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Peso e distribuição de carga.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Espaços necessários para manutenção e operação.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4. Dimensões e posições de conexões hidráulicas e fiação.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5. Diagramas elétricos: Para diagramas elétricos de controle, sinal e força. Diferencie entre o diagrama elétrico instalado em campo e o instalado pelo fabricante.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Dados de operação e manutenção: Cada equipamento deve incluir manual de operação e manutenção.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1.4 GARANTIA DA QUALIDADE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Verificação de desempenho: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performance térmica deve ser certificada pelo Cooling Technology Institute (CTI) conforme o Programa de Certificação CTI STD-201. Sem essa certificação, um teste de performance em campo deve ser realizado dentro do período de garantia de acordo com a norma de Teste de Aceitação CTI ATC-105, por uma empresa especializada com Certificação CTI. O equipamento de troca de calor evaporativo deve cumprir os requisitos de eficiência energética do Padrão ASHRAE 90.1.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Os níveis sonoros do equipamento devem ser testados de acordo com a norma CTI ATC-128. Os níveis sonoros não devem exceder àqueles especificados.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1.5 GARANTIA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Enviar garantia escrita pelo fabricante, concordando em reparar ou substituir componentes do equipamento com falhas de materiais e mão de obra dentro do período de garantia especificado.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equipamento completo deve ter uma garantia abrangente de dezoito (18) meses contra defeitos de materiais e mão de obra contados a partir do start-up, não excedendo vinte e quatro (24) meses da data de emissão da NF.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Sistema de transmissão/motor do ventilador: o período de garantia será de Dois (2) anos a partir da data do faturamento (motores do ventilador, ventiladores, mancais, suporte mecânico, polias, buchas e correias).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3. Serpentina de transferência de calor: O período de garantia deve ser de Dois (2) ano a partir da data de envio da unidade da fábrica.</w:t>
                  </w:r>
                </w:p>
                <w:p>
                  <w:pPr>
                    <w:pStyle w:val="level1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PART 2 - PRODUTOS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2.1 FABRICANTES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Fabricantes: Sujeito ao cumprimento dos requisitos, forneça resfriadores de circuito fechado fabricados por uma das opções a seguir: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EVAPCO Modelo ESW4 12-22I12-SP-Z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Substituto aprovado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2.2 PERFORMANCE TÉRMICA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Cada equipamento deve ser capaz de resfriar 37.0 LPS de água entrando a 37.8° C e saindo a 32.2° C em um bulbo úmido de entrada de projeto de 25.6° C com perda de carga na serpentina menor que 301.18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2.3 CONFORMIDADE COM IBC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A estrutura da unidade deve ser projetada, analisada e construída de acordo com a mais recente edição do International Building Code (IBC) para: I</w:t>
                  </w:r>
                  <w:r>
                    <w:rPr>
                      <w:rFonts w:ascii="Calibri'" w:hAnsi="Calibri'" w:cs="Calibri'"/>
                      <w:sz w:val="24"/>
                    </w:rPr>
                    <w:t>P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1.0, S</w:t>
                  </w:r>
                  <w:r>
                    <w:rPr>
                      <w:rFonts w:ascii="Calibri'" w:hAnsi="Calibri'" w:cs="Calibri'"/>
                      <w:sz w:val="24"/>
                    </w:rPr>
                    <w:t>DS</w:t>
                  </w:r>
                  <w:r>
                    <w:rPr>
                      <w:rFonts w:ascii="Calibri'" w:hAnsi="Calibri'" w:cs="Calibri'"/>
                      <w:sz w:val="24"/>
                    </w:rPr>
                    <w:t xml:space="preserve"> = 1.6; z/h = 0, P = 5.7 kPa.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2.4 COMPONENTES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Descrição: resfriador de circuito fechado em contra corrente de tiragem induzida montado e testado na fábrica, completo com ventilador, serpentina, enchimento, louvers, acessórios e suportes de içamento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Materiais de construção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componentes de bacia da água resfriada, incluindo suportes verticais, quadros dos louvers de entrada de ar e painéis até a orelha de içamento, devem ser construídos com chapa de boa espessura de aço galvanizado a quente.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 O módulo superior, o tubo de distribuição e os suportes angulares devem ser construídos com aço galvanizado a quente e em chapa grossa. O bocal e a proteção do ventilador devem ser construídas com aço galvanizado. Todo o aço galvanizado deve ser revestido com no mínimo, 725 grams de zinco por medidor quadrado da área (designação Z-725 Hot-Dip Galvanized Steel). Durante a fabricação, todas as bordas do painel de aço galvanizado devem ser revestidas com um composto rico em zinco puro a 95%.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Ventiladores: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ventiladores devem ser do tipo axial de alta eficiência com construção de pás largas em alumínio. Cada ventilador deve ser balanceado dinamicamente e instalado em um bocal com mínima folga com entrada de ar tipo venturi para obter a máxima eficiência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Eliminadores de gotas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eliminadores de gotas devem ser construídos inteiramente em Policloreto de Vinila (PVC) em seções facilmente removíveis. O projeto deve incorporar três mudanças no sentido do ar e limitar a perda de água por arraste a no máximo 0,001% da vazão de água de recirculação. Drift eliminators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Sistema de distribuição de água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bicos devem ser bicos de aspersão de orifício grande ABS moldados com precisão que utilizam tecnologia fluídica para distribuição de água superior sobre o enchimento. Os bicos devem ser projetados para minimizar a manutenção do sistema de distribuição de água. Spray header, ramificações e tubo vertical devem ser de policloreto de polivinila (PVC) Schedule 40 para resistência à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F. Superfície de troca térmica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serpentina de transferência de calor deve ter tubos elípticos bem espaçados de aço de superfície nobre, envoltos em armação de aço com o conjunto inteiro galvanizado a quente após a fabricação. O conjunto da serpentina deve ser projetado com tubos inclinados para drenagem líquida e pressão de ar testada para 1500 kPa. Pressure Equipment Directive (2014/68/EU).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G. Bomba de recirculação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bomba centrífuga de acoplamento direto com selo mecânico. A bomba deve ser instalada em posição vertical, de modo que a água seja drenada da bomba quando a bacia de água resfriada for esvaziada. O motor da bomba deve ser totalmente fechado com tampa de proteção para operação ao ar livre.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H. Sangria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unidade deve ter uma linha de sangria de água de purga com uma válvula manual ajustável instalada.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I. Louvers de entrada de ar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 entrada de ar devem ser construídos com Policloreto de Vinila (PVC) com inibidor UV e incorporar um quadro que permite sua fácil remoção para acesso a toda a área da bacia para manutenção. Os louvers devem ter no mínimo duas mudanças na direção do ar e devem ser não planos para evitar respingos, eliminar a entrada de luz solar direta e reduzir a entrada de detritos na bacia. Air inlet louvers shall be self-extinguishing, have a flame spread of less than 25 under ASTM E84, and shall be resistant to rot, decay and biological attack.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J. Conjunto da válvula boia de reposição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conjunto da válvula boia de reposição deve ser composto de uma válvula de latão e uma boia de plástico ajustável.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K. Filtro da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Todos os filtros da bacia devem ser construídos em Aço inoxidável tipo 304com grande área de telas perfuradas removíveis.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2.5 MOTORES E TRANSMISSÕES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Os requisitos gerais para motores estão especificados na divisão 23 da seção "Motores"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Motor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motores do ventilador devem ser totalmente fechados, motores elétricos de mancal com rolamento de esferas adequados para o serviço em ar úmido. Os motores terão classe de eficiência IE3 em conformidade com o (CE) nº 640/2009; Classe F isolada, projeto de fator de serviço 1,0. Os motores adequados para aplicações de torque variável e faixa de velocidade de torque constante com inversores de frequência variável adequadamente dimensionados e ajustados.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Acionamento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acionamento do ventilador deve ser por correias em V tipo “Power Band” e com buchas cônicas QD, projetado para 150% da potência nominal do motor. O material da correia deve ser neoprene reforçado com poliéster e projetado especificamente para o serviço em equipamentos evaporativos. A polia motora deve ser de liga de alumínio. O ajuste da correia deve ser realizado pela parte externa do equipamento.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D. Eixo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 eixo do ventilador deve ser de aço maciço, retificado e polido. A superfície exposta deve ser revestida contra corrosão.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E. Mancais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mancais do ventilador devem ser do tipo de esferas auto alinháveis e próprio para trabalhos pesados, com linhas de lubrificação estendidas localizados próxima à porta de acesso. Os mancais devem ser projetados para uma vida útil mínima L-10 de 100.000 horas.</w:t>
                  </w:r>
                </w:p>
                <w:p>
                  <w:pPr>
                    <w:pStyle w:val="level2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2.6 ACESSO PARA MANUTENÇÃO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A. Seção do ventilador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A porta de acesso deve ser articulada e localizada na seção do ventilador para o acesso ao sistema de distribuição de água e ao acionamento do ventilador.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B. Bacia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Os louvers devem estar em todos os quatro (4) lados da unidade para o acesso a bacia.</w:t>
                  </w:r>
                </w:p>
                <w:p>
                  <w:pPr>
                    <w:pStyle w:val="level3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C. Plataforma de trabalho interna</w:t>
                  </w:r>
                </w:p>
                <w:p>
                  <w:pPr>
                    <w:pStyle w:val="level4"/>
                    <w:jc w:val="left"/>
                    <w:rPr>
                      <w:rFonts w:ascii="Calibri'" w:hAnsi="Calibri'" w:cs="Calibri'"/>
                      <w:sz w:val="24"/>
                    </w:rPr>
                  </w:pPr>
                  <w:r>
                    <w:rPr>
                      <w:rFonts w:ascii="Calibri'" w:hAnsi="Calibri'" w:cs="Calibri'"/>
                      <w:sz w:val="24"/>
                    </w:rPr>
                    <w:t>1. Uma plataforma de trabalho interna deve oferecer acesso fácil aos ventiladores, correias, motores, polias, mancais, todas as partes mecânicas e sistema de distribuição de água. O enchimento deve ser um meio aceitável para acessar esses componentes.</w:t>
                  </w:r>
                </w:p>
              </w:tc>
            </w:tr>
          </w:tbl>
          <w:p>
            <w:pPr>
              <w:rPr/>
            </w:pPr>
          </w:p>
        </w:tc>
      </w:tr>
    </w:tbl>
    <w:sectPr/>
  </w:body>
</w:document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Times New Roman"/>
      </w:rPr>
    </w:rPrDefault>
    <w:pPrDefault>
      <w:pPr/>
    </w:pPrDefault>
  </w:docDefaults>
  <w:style w:styleId="Normal" w:type="paragraph" w:default="true" w:customStyle="false">
    <w:name w:val="Normal"/>
    <w:uiPriority w:val="0"/>
    <w:qFormat w:val="true"/>
    <w:pPr/>
    <w:rPr>
      <w:sz w:val="24"/>
    </w:rPr>
  </w:style>
  <w:style w:styleId="TableNormal" w:type="table" w:default="true" w:customStyle="false">
    <w:name w:val="Table Normal"/>
    <w:uiPriority w:val="59"/>
    <w:pPr/>
    <w:rPr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styleId="level0" w:type="paragraph" w:default="false" w:customStyle="false">
    <w:name w:val="level0"/>
    <w:basedOn w:val="Normal"/>
    <w:pPr>
      <w:spacing w:after="100" w:before="100" w:afterAutospacing="true" w:beforeAutospacing="true"/>
      <w:ind w:left="0"/>
      <w:jc w:val="center"/>
    </w:pPr>
    <w:rPr>
      <w:b w:val="true"/>
    </w:rPr>
  </w:style>
  <w:style w:styleId="level1" w:type="paragraph" w:default="false" w:customStyle="false">
    <w:name w:val="level1"/>
    <w:basedOn w:val="Normal"/>
    <w:pPr>
      <w:spacing w:after="100" w:before="100" w:afterAutospacing="true" w:beforeAutospacing="true"/>
      <w:ind w:left="0"/>
    </w:pPr>
    <w:rPr/>
  </w:style>
  <w:style w:styleId="level10" w:type="paragraph" w:default="false" w:customStyle="false">
    <w:name w:val="level10"/>
    <w:basedOn w:val="Normal"/>
    <w:pPr>
      <w:spacing w:after="100" w:before="100" w:afterAutospacing="true" w:beforeAutospacing="true"/>
      <w:ind w:left="2700"/>
    </w:pPr>
    <w:rPr/>
  </w:style>
  <w:style w:styleId="level2" w:type="paragraph" w:default="false" w:customStyle="false">
    <w:name w:val="level2"/>
    <w:basedOn w:val="Normal"/>
    <w:pPr>
      <w:spacing w:after="100" w:before="100" w:afterAutospacing="true" w:beforeAutospacing="true"/>
      <w:ind w:left="300"/>
    </w:pPr>
    <w:rPr/>
  </w:style>
  <w:style w:styleId="level3" w:type="paragraph" w:default="false" w:customStyle="false">
    <w:name w:val="level3"/>
    <w:basedOn w:val="Normal"/>
    <w:pPr>
      <w:spacing w:after="100" w:before="100" w:afterAutospacing="true" w:beforeAutospacing="true"/>
      <w:ind w:left="600"/>
    </w:pPr>
    <w:rPr/>
  </w:style>
  <w:style w:styleId="level4" w:type="paragraph" w:default="false" w:customStyle="false">
    <w:name w:val="level4"/>
    <w:basedOn w:val="Normal"/>
    <w:pPr>
      <w:spacing w:after="100" w:before="100" w:afterAutospacing="true" w:beforeAutospacing="true"/>
      <w:ind w:left="900"/>
    </w:pPr>
    <w:rPr/>
  </w:style>
  <w:style w:styleId="level5" w:type="paragraph" w:default="false" w:customStyle="false">
    <w:name w:val="level5"/>
    <w:basedOn w:val="Normal"/>
    <w:pPr>
      <w:spacing w:after="100" w:before="100" w:afterAutospacing="true" w:beforeAutospacing="true"/>
      <w:ind w:left="1200"/>
    </w:pPr>
    <w:rPr/>
  </w:style>
  <w:style w:styleId="level6" w:type="paragraph" w:default="false" w:customStyle="false">
    <w:name w:val="level6"/>
    <w:basedOn w:val="Normal"/>
    <w:pPr>
      <w:spacing w:after="100" w:before="100" w:afterAutospacing="true" w:beforeAutospacing="true"/>
      <w:ind w:left="1500"/>
    </w:pPr>
    <w:rPr/>
  </w:style>
  <w:style w:styleId="level7" w:type="paragraph" w:default="false" w:customStyle="false">
    <w:name w:val="level7"/>
    <w:basedOn w:val="Normal"/>
    <w:pPr>
      <w:spacing w:after="100" w:before="100" w:afterAutospacing="true" w:beforeAutospacing="true"/>
      <w:ind w:left="1800"/>
    </w:pPr>
    <w:rPr/>
  </w:style>
  <w:style w:styleId="level8" w:type="paragraph" w:default="false" w:customStyle="false">
    <w:name w:val="level8"/>
    <w:basedOn w:val="Normal"/>
    <w:pPr>
      <w:spacing w:after="100" w:before="100" w:afterAutospacing="true" w:beforeAutospacing="true"/>
      <w:ind w:left="2100"/>
    </w:pPr>
    <w:rPr/>
  </w:style>
  <w:style w:styleId="level9" w:type="paragraph" w:default="false" w:customStyle="false">
    <w:name w:val="level9"/>
    <w:basedOn w:val="Normal"/>
    <w:pPr>
      <w:spacing w:after="100" w:before="100" w:afterAutospacing="true" w:beforeAutospacing="true"/>
      <w:ind w:left="2400"/>
    </w:pPr>
    <w:rPr/>
  </w:style>
</w:style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theme" Target="theme/theme1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</a:theme>
</file>