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vertical, com tiragem induzida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ESWA 96-35K-Z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30.4 LPS de água entrando a 35.0° C e saindo a 26.7° C em um bulbo úmido de entrada de projeto de 20.0° C com perda de carga na serpentina menor que 215.15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0.67; z/h = 0, P = 5.7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induzida montado e testado na fábrica, completo com ventilador, serpentina, enchimento, louvers, acessórios e suportes de içamento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devem ser de ABS moldado de precisão com orifício grande roscado em tubulação de derivação com anel de lodo interno para eliminar o entupimento. O tobo distribuidor central e as ramificações devem ser de policloreto de polivinila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bem espaçados de aço de superfície nobre, envoltos em armação de aço com o conjunto inteiro galvanizado a quente após a fabricação. O conjunto da serpentina deve ser projetado com tubos inclinados para drenagem líquida e pressão de ar testada para 1500 kPa.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Louvers de entrada de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Air inlet louvers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maciço, retificado e polido. A superfície exposta deve ser revestida contra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deve ser articulada e localizada na seção do ventilador para o acesso ao sistema de distribuição de água e ao acionamento do ventilador. A abertura da tampa do motor deve ser articulada para acesso ao motor.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devem estar em todos os quatro (4) lados da unidade para o acesso a bacia.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A unidade deve ser fornecida com painéis removíveis pela serpentina para permitir uma fácil inspeção da serpentina e da bacia sem entrar na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Plataforma de trabalho interna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