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com ventilação centrífuga de descarga vertical, com tiragem por insuflamento mecânico,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LRC 114</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ter capacidade de 334.04 (kW) a 35.0° C de condensação e um bulbo úmido de entrada de projeto de 25.6° C.</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0.67;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condensador evaporativo em contra corrente de tiragem por insuflamento montado e testado na fábrica</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A bacia de água resfriada da unidade deve ser Aço inoxidável tipo 304. Todos os painéis restantes, incluindo os bocais, os suportes e as volutas do ventilador, devem ser construídos com aço galvanizado a quente. Todo o aço galvanizado deve ser revestido com no mínimo 725 grams de zinco por medidor quadrado da área (designação Z-725 Hot-Dip Galvanized Steel). Durante a fabricação, todas as bordas do painel de aço galvanizado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centrífugos curvados para a frente de construção galvanizada a quente. Os ventiladores devem ser instalados de fábrica e equilibrados estática e dinamicamente para operação sem vibração</w:t>
                  </w:r>
                </w:p>
                <w:p>
                  <w:pPr>
                    <w:pStyle w:val="level3"/>
                    <w:jc w:val="left"/>
                    <w:rPr>
                      <w:rFonts w:ascii="Calibri'" w:hAnsi="Calibri'" w:cs="Calibri'"/>
                      <w:sz w:val="24"/>
                    </w:rPr>
                  </w:pPr>
                  <w:r>
                    <w:rPr>
                      <w:rFonts w:ascii="Calibri'" w:hAnsi="Calibri'" w:cs="Calibri'"/>
                      <w:sz w:val="24"/>
                    </w:rPr>
                    <w:t>D. Voluta do ventilador</w:t>
                  </w:r>
                </w:p>
                <w:p>
                  <w:pPr>
                    <w:pStyle w:val="level4"/>
                    <w:jc w:val="left"/>
                    <w:rPr>
                      <w:rFonts w:ascii="Calibri'" w:hAnsi="Calibri'" w:cs="Calibri'"/>
                      <w:sz w:val="24"/>
                    </w:rPr>
                  </w:pPr>
                  <w:r>
                    <w:rPr>
                      <w:rFonts w:ascii="Calibri'" w:hAnsi="Calibri'" w:cs="Calibri'"/>
                      <w:sz w:val="24"/>
                    </w:rPr>
                    <w:t>1. O sistema de transmissão completo, incluindo motor elétrico, correias, mancais, ventilador e transmissões, deve estar completamente fechado em uma caixa de proteção que cobre o sistema de transmissão e oferece redução de som.</w:t>
                  </w:r>
                </w:p>
                <w:p>
                  <w:pPr>
                    <w:pStyle w:val="level3"/>
                    <w:jc w:val="left"/>
                    <w:rPr>
                      <w:rFonts w:ascii="Calibri'" w:hAnsi="Calibri'" w:cs="Calibri'"/>
                      <w:sz w:val="24"/>
                    </w:rPr>
                  </w:pPr>
                  <w:r>
                    <w:rPr>
                      <w:rFonts w:ascii="Calibri'" w:hAnsi="Calibri'" w:cs="Calibri'"/>
                      <w:sz w:val="24"/>
                    </w:rPr>
                    <w:t>E.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F. Sistema de distribuição de água</w:t>
                  </w:r>
                </w:p>
                <w:p>
                  <w:pPr>
                    <w:pStyle w:val="level4"/>
                    <w:jc w:val="left"/>
                    <w:rPr>
                      <w:rFonts w:ascii="Calibri'" w:hAnsi="Calibri'" w:cs="Calibri'"/>
                      <w:sz w:val="24"/>
                    </w:rPr>
                  </w:pPr>
                  <w:r>
                    <w:rPr>
                      <w:rFonts w:ascii="Calibri'" w:hAnsi="Calibri'" w:cs="Calibri'"/>
                      <w:sz w:val="24"/>
                    </w:rPr>
                    <w:t>1. Os bicos de aspersão possuem grande orifício, são produzidos em plástico ABS injetados com precisão, roscados em tubos com anel interno para eliminar o entupimento. O tubo distribuidor central e as ramificações devem ser de policloreto de vinila (PVC) Schedule 40 para resistência à corrosão.</w:t>
                  </w:r>
                </w:p>
                <w:p>
                  <w:pPr>
                    <w:pStyle w:val="level3"/>
                    <w:jc w:val="left"/>
                    <w:rPr>
                      <w:rFonts w:ascii="Calibri'" w:hAnsi="Calibri'" w:cs="Calibri'"/>
                      <w:sz w:val="24"/>
                    </w:rPr>
                  </w:pPr>
                  <w:r>
                    <w:rPr>
                      <w:rFonts w:ascii="Calibri'" w:hAnsi="Calibri'" w:cs="Calibri'"/>
                      <w:sz w:val="24"/>
                    </w:rPr>
                    <w:t>G. Superfície de troca térmica</w:t>
                  </w:r>
                </w:p>
                <w:p>
                  <w:pPr>
                    <w:pStyle w:val="level4"/>
                    <w:jc w:val="left"/>
                    <w:rPr>
                      <w:rFonts w:ascii="Calibri'" w:hAnsi="Calibri'" w:cs="Calibri'"/>
                      <w:sz w:val="24"/>
                    </w:rPr>
                  </w:pPr>
                  <w:r>
                    <w:rPr>
                      <w:rFonts w:ascii="Calibri'" w:hAnsi="Calibri'" w:cs="Calibri'"/>
                      <w:sz w:val="24"/>
                    </w:rPr>
                    <w:t>1. Heat transfer coil shall be elliptical tubes of prime surface steel, encased in steel framework with entire assembly hot-dip galvanized after fabrication. The coil assembly shall be designed with sloping tubes for liquid drainage. Coil shall have design pressure of 24 Bar and shall be in compliance with Pressure Equipment Directive (2014/68/EU), Refrigeration Piping and Heat Transfer Components. The coil assembly shall be strength tested in accordance with Pressure Equipment Directive (2014/68/EU) and subsequently leak tested using air under water.</w:t>
                  </w:r>
                </w:p>
                <w:p>
                  <w:pPr>
                    <w:pStyle w:val="level4"/>
                    <w:jc w:val="left"/>
                    <w:rPr>
                      <w:rFonts w:ascii="Calibri'" w:hAnsi="Calibri'" w:cs="Calibri'"/>
                      <w:sz w:val="24"/>
                    </w:rPr>
                  </w:pPr>
                  <w:r>
                    <w:rPr>
                      <w:rFonts w:ascii="Calibri'" w:hAnsi="Calibri'" w:cs="Calibri'"/>
                      <w:sz w:val="24"/>
                    </w:rPr>
                    <w:t>2.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H.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I.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J. Telas de entrada do ar</w:t>
                  </w:r>
                </w:p>
                <w:p>
                  <w:pPr>
                    <w:pStyle w:val="level4"/>
                    <w:jc w:val="left"/>
                    <w:rPr>
                      <w:rFonts w:ascii="Calibri'" w:hAnsi="Calibri'" w:cs="Calibri'"/>
                      <w:sz w:val="24"/>
                    </w:rPr>
                  </w:pPr>
                  <w:r>
                    <w:rPr>
                      <w:rFonts w:ascii="Calibri'" w:hAnsi="Calibri'" w:cs="Calibri'"/>
                      <w:sz w:val="24"/>
                    </w:rPr>
                    <w:t>1. As telas de proteção devem ser fornecidas pela entrada de ar</w:t>
                  </w:r>
                </w:p>
                <w:p>
                  <w:pPr>
                    <w:pStyle w:val="level3"/>
                    <w:jc w:val="left"/>
                    <w:rPr>
                      <w:rFonts w:ascii="Calibri'" w:hAnsi="Calibri'" w:cs="Calibri'"/>
                      <w:sz w:val="24"/>
                    </w:rPr>
                  </w:pPr>
                  <w:r>
                    <w:rPr>
                      <w:rFonts w:ascii="Calibri'" w:hAnsi="Calibri'" w:cs="Calibri'"/>
                      <w:sz w:val="24"/>
                    </w:rPr>
                    <w:t>K.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L.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 em V e com buchas cônicas QD, projetado para 150% da potência da placa de identificação do motor. O material da correia deve ser neoprene reforçado de poliéster e projetado especificamente para o serviço em equipamentos evaporativos. O ajuste da correia deve ser realizado a partir da parte externa da unidade.</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Fan shaft shall be solid, ground and polished steel. Exposed surface shall be coated with rust preventative.</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As telas do ventilador devem ser removíveis para acesso à transmissão e ao motor do ventilador.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A porta de acesso circular deve ser localizada acima da bacia para permitir acesso fácil ao módulo inferior interno</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