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 com tiragem por insuflamento mecânico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LSWA 116A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41.3 LPS de água entrando a 37.8° C e saindo a 32.2° C em um bulbo úmido de entrada de projeto de 25.6° C com perda de carga na serpentina menor que 23.99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por insuflamento montado e testado na fábrica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painéis, incluindo os bocais, os suportes e as volutas do ventilador, devem ser construídos com aço galvanizado a quente em chapa grossa. Todo o aço galvanizado deve ser revestido com no mínimo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Voluta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de aço carbono, envoltos em armação de aço com o conjunto inteiro galvanizado a quente após a fabricação. O conjunto da serpentina deve ser projetado com tubos inclinados para drenagem de líquido e pressão de ar para teste 1500 kPa sob a água. A serpentina deve estar em conformidade com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Telas de entrada do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de proteção devem ser fornecidas pela entrada de ar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L.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tubular, moído e polido com mancais forjados. A superfície exposta deve ser revestida com oxidação preventiva.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do ventilador devem ser removíveis para acesso à transmissão e ao motor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